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946" w:type="dxa"/>
        <w:tblInd w:w="0" w:type="dxa"/>
        <w:tblLayout w:type="fixed"/>
        <w:tblCellMar>
          <w:top w:w="0" w:type="dxa"/>
          <w:left w:w="108" w:type="dxa"/>
          <w:bottom w:w="0" w:type="dxa"/>
          <w:right w:w="108" w:type="dxa"/>
        </w:tblCellMar>
      </w:tblPr>
      <w:tblGrid>
        <w:gridCol w:w="637"/>
        <w:gridCol w:w="253"/>
        <w:gridCol w:w="277"/>
        <w:gridCol w:w="168"/>
        <w:gridCol w:w="2163"/>
        <w:gridCol w:w="289"/>
        <w:gridCol w:w="733"/>
        <w:gridCol w:w="229"/>
        <w:gridCol w:w="479"/>
        <w:gridCol w:w="206"/>
        <w:gridCol w:w="877"/>
        <w:gridCol w:w="691"/>
        <w:gridCol w:w="550"/>
        <w:gridCol w:w="1394"/>
      </w:tblGrid>
      <w:tr>
        <w:tblPrEx>
          <w:tblCellMar>
            <w:top w:w="0" w:type="dxa"/>
            <w:left w:w="108" w:type="dxa"/>
            <w:bottom w:w="0" w:type="dxa"/>
            <w:right w:w="108" w:type="dxa"/>
          </w:tblCellMar>
        </w:tblPrEx>
        <w:trPr>
          <w:trHeight w:val="408" w:hRule="atLeast"/>
        </w:trPr>
        <w:tc>
          <w:tcPr>
            <w:tcW w:w="8946" w:type="dxa"/>
            <w:gridSpan w:val="14"/>
            <w:noWrap w:val="0"/>
            <w:vAlign w:val="center"/>
          </w:tcPr>
          <w:p>
            <w:pPr>
              <w:autoSpaceDN w:val="0"/>
              <w:spacing w:line="400" w:lineRule="exact"/>
              <w:jc w:val="left"/>
              <w:textAlignment w:val="center"/>
              <w:rPr>
                <w:rFonts w:ascii="黑体" w:hAnsi="黑体" w:eastAsia="黑体"/>
                <w:color w:val="000000"/>
              </w:rPr>
            </w:pPr>
            <w:bookmarkStart w:id="0" w:name="_GoBack"/>
            <w:bookmarkEnd w:id="0"/>
            <w:r>
              <w:rPr>
                <w:rFonts w:ascii="黑体" w:hAnsi="黑体" w:eastAsia="黑体"/>
                <w:color w:val="000000"/>
                <w:sz w:val="32"/>
              </w:rPr>
              <w:t>附件</w:t>
            </w:r>
            <w:r>
              <w:rPr>
                <w:rFonts w:hint="eastAsia" w:ascii="黑体" w:hAnsi="黑体" w:eastAsia="黑体"/>
                <w:color w:val="000000"/>
                <w:sz w:val="32"/>
              </w:rPr>
              <w:t>3</w:t>
            </w:r>
          </w:p>
        </w:tc>
      </w:tr>
      <w:tr>
        <w:tblPrEx>
          <w:tblCellMar>
            <w:top w:w="0" w:type="dxa"/>
            <w:left w:w="108" w:type="dxa"/>
            <w:bottom w:w="0" w:type="dxa"/>
            <w:right w:w="108" w:type="dxa"/>
          </w:tblCellMar>
        </w:tblPrEx>
        <w:trPr>
          <w:trHeight w:val="624" w:hRule="atLeast"/>
        </w:trPr>
        <w:tc>
          <w:tcPr>
            <w:tcW w:w="8946" w:type="dxa"/>
            <w:gridSpan w:val="14"/>
            <w:noWrap w:val="0"/>
            <w:vAlign w:val="center"/>
          </w:tcPr>
          <w:p>
            <w:pPr>
              <w:autoSpaceDN w:val="0"/>
              <w:spacing w:line="400" w:lineRule="exact"/>
              <w:jc w:val="center"/>
              <w:textAlignment w:val="center"/>
              <w:rPr>
                <w:rFonts w:ascii="仿宋" w:hAnsi="仿宋" w:eastAsia="仿宋"/>
                <w:b/>
                <w:color w:val="000000"/>
                <w:sz w:val="36"/>
              </w:rPr>
            </w:pPr>
            <w:r>
              <w:rPr>
                <w:rFonts w:hint="eastAsia" w:ascii="方正小标宋简体" w:hAnsi="方正小标宋简体" w:eastAsia="方正小标宋简体"/>
                <w:bCs/>
                <w:color w:val="000000"/>
                <w:sz w:val="36"/>
                <w:szCs w:val="36"/>
              </w:rPr>
              <w:t>部门整体支出绩效自评表</w:t>
            </w:r>
          </w:p>
        </w:tc>
      </w:tr>
      <w:tr>
        <w:tblPrEx>
          <w:tblCellMar>
            <w:top w:w="0" w:type="dxa"/>
            <w:left w:w="108" w:type="dxa"/>
            <w:bottom w:w="0" w:type="dxa"/>
            <w:right w:w="108" w:type="dxa"/>
          </w:tblCellMar>
        </w:tblPrEx>
        <w:trPr>
          <w:trHeight w:val="355" w:hRule="atLeast"/>
        </w:trPr>
        <w:tc>
          <w:tcPr>
            <w:tcW w:w="8946" w:type="dxa"/>
            <w:gridSpan w:val="14"/>
            <w:noWrap w:val="0"/>
            <w:vAlign w:val="center"/>
          </w:tcPr>
          <w:p>
            <w:pPr>
              <w:autoSpaceDN w:val="0"/>
              <w:spacing w:line="400" w:lineRule="exact"/>
              <w:jc w:val="center"/>
              <w:textAlignment w:val="center"/>
              <w:rPr>
                <w:rFonts w:ascii="仿宋" w:hAnsi="仿宋" w:eastAsia="仿宋"/>
                <w:color w:val="000000"/>
                <w:sz w:val="18"/>
              </w:rPr>
            </w:pPr>
            <w:r>
              <w:rPr>
                <w:rFonts w:hint="eastAsia" w:ascii="楷体_GB2312" w:hAnsi="楷体_GB2312" w:eastAsia="楷体_GB2312"/>
                <w:color w:val="000000"/>
                <w:sz w:val="18"/>
              </w:rPr>
              <w:t>（ 202</w:t>
            </w:r>
            <w:r>
              <w:rPr>
                <w:rFonts w:hint="eastAsia" w:ascii="楷体_GB2312" w:hAnsi="楷体_GB2312" w:eastAsia="楷体_GB2312"/>
                <w:color w:val="000000"/>
                <w:sz w:val="18"/>
                <w:lang w:val="en-US" w:eastAsia="zh-CN"/>
              </w:rPr>
              <w:t>1</w:t>
            </w:r>
            <w:r>
              <w:rPr>
                <w:rFonts w:hint="eastAsia" w:ascii="楷体_GB2312" w:hAnsi="楷体_GB2312" w:eastAsia="楷体_GB2312"/>
                <w:color w:val="000000"/>
                <w:sz w:val="18"/>
              </w:rPr>
              <w:t>年度）</w:t>
            </w:r>
          </w:p>
        </w:tc>
      </w:tr>
      <w:tr>
        <w:tblPrEx>
          <w:tblCellMar>
            <w:top w:w="0" w:type="dxa"/>
            <w:left w:w="108" w:type="dxa"/>
            <w:bottom w:w="0" w:type="dxa"/>
            <w:right w:w="108" w:type="dxa"/>
          </w:tblCellMar>
        </w:tblPrEx>
        <w:trPr>
          <w:trHeight w:val="228" w:hRule="atLeast"/>
        </w:trPr>
        <w:tc>
          <w:tcPr>
            <w:tcW w:w="13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评价部门名称</w:t>
            </w:r>
          </w:p>
        </w:tc>
        <w:tc>
          <w:tcPr>
            <w:tcW w:w="341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萍乡市湘东中等专业学校</w:t>
            </w:r>
          </w:p>
        </w:tc>
        <w:tc>
          <w:tcPr>
            <w:tcW w:w="225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下属单位个数</w:t>
            </w:r>
          </w:p>
        </w:tc>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1</w:t>
            </w:r>
          </w:p>
        </w:tc>
      </w:tr>
      <w:tr>
        <w:tblPrEx>
          <w:tblCellMar>
            <w:top w:w="0" w:type="dxa"/>
            <w:left w:w="108" w:type="dxa"/>
            <w:bottom w:w="0" w:type="dxa"/>
            <w:right w:w="108" w:type="dxa"/>
          </w:tblCellMar>
        </w:tblPrEx>
        <w:trPr>
          <w:trHeight w:val="228" w:hRule="atLeast"/>
        </w:trPr>
        <w:tc>
          <w:tcPr>
            <w:tcW w:w="133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整体支出规模</w:t>
            </w:r>
          </w:p>
        </w:tc>
        <w:tc>
          <w:tcPr>
            <w:tcW w:w="24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p>
        </w:tc>
        <w:tc>
          <w:tcPr>
            <w:tcW w:w="144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全年预算数</w:t>
            </w:r>
          </w:p>
        </w:tc>
        <w:tc>
          <w:tcPr>
            <w:tcW w:w="177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全年执行数</w:t>
            </w:r>
          </w:p>
        </w:tc>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执行率</w:t>
            </w:r>
          </w:p>
        </w:tc>
      </w:tr>
      <w:tr>
        <w:tblPrEx>
          <w:tblCellMar>
            <w:top w:w="0" w:type="dxa"/>
            <w:left w:w="108" w:type="dxa"/>
            <w:bottom w:w="0" w:type="dxa"/>
            <w:right w:w="108" w:type="dxa"/>
          </w:tblCellMar>
        </w:tblPrEx>
        <w:trPr>
          <w:trHeight w:val="334"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资金来源：（1）财政拨款</w:t>
            </w:r>
          </w:p>
        </w:tc>
        <w:tc>
          <w:tcPr>
            <w:tcW w:w="144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both"/>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1537.47</w:t>
            </w:r>
          </w:p>
        </w:tc>
        <w:tc>
          <w:tcPr>
            <w:tcW w:w="177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1741.07</w:t>
            </w:r>
          </w:p>
        </w:tc>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113.24%</w:t>
            </w:r>
          </w:p>
        </w:tc>
      </w:tr>
      <w:tr>
        <w:tblPrEx>
          <w:tblCellMar>
            <w:top w:w="0" w:type="dxa"/>
            <w:left w:w="108" w:type="dxa"/>
            <w:bottom w:w="0" w:type="dxa"/>
            <w:right w:w="108" w:type="dxa"/>
          </w:tblCellMar>
        </w:tblPrEx>
        <w:trPr>
          <w:trHeight w:val="228"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 xml:space="preserve">         （2）其他资金</w:t>
            </w:r>
          </w:p>
        </w:tc>
        <w:tc>
          <w:tcPr>
            <w:tcW w:w="144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both"/>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1226.15</w:t>
            </w:r>
          </w:p>
        </w:tc>
        <w:tc>
          <w:tcPr>
            <w:tcW w:w="177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both"/>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1166.48</w:t>
            </w:r>
          </w:p>
        </w:tc>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95.13%</w:t>
            </w:r>
          </w:p>
        </w:tc>
      </w:tr>
      <w:tr>
        <w:tblPrEx>
          <w:tblCellMar>
            <w:top w:w="0" w:type="dxa"/>
            <w:left w:w="108" w:type="dxa"/>
            <w:bottom w:w="0" w:type="dxa"/>
            <w:right w:w="108" w:type="dxa"/>
          </w:tblCellMar>
        </w:tblPrEx>
        <w:trPr>
          <w:trHeight w:val="254"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资金结构：（1）基本支出</w:t>
            </w:r>
          </w:p>
        </w:tc>
        <w:tc>
          <w:tcPr>
            <w:tcW w:w="144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both"/>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2763.62</w:t>
            </w:r>
          </w:p>
        </w:tc>
        <w:tc>
          <w:tcPr>
            <w:tcW w:w="177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2907.65</w:t>
            </w:r>
          </w:p>
        </w:tc>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105.21%</w:t>
            </w:r>
          </w:p>
        </w:tc>
      </w:tr>
      <w:tr>
        <w:tblPrEx>
          <w:tblCellMar>
            <w:top w:w="0" w:type="dxa"/>
            <w:left w:w="108" w:type="dxa"/>
            <w:bottom w:w="0" w:type="dxa"/>
            <w:right w:w="108" w:type="dxa"/>
          </w:tblCellMar>
        </w:tblPrEx>
        <w:trPr>
          <w:trHeight w:val="228"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 xml:space="preserve">         （2）项目支出</w:t>
            </w:r>
          </w:p>
        </w:tc>
        <w:tc>
          <w:tcPr>
            <w:tcW w:w="144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both"/>
              <w:textAlignment w:val="center"/>
              <w:rPr>
                <w:rFonts w:hint="default" w:ascii="宋体" w:hAnsi="宋体" w:eastAsia="宋体"/>
                <w:color w:val="000000"/>
                <w:sz w:val="18"/>
                <w:lang w:val="en-US" w:eastAsia="zh-CN"/>
              </w:rPr>
            </w:pPr>
          </w:p>
        </w:tc>
        <w:tc>
          <w:tcPr>
            <w:tcW w:w="177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hint="default" w:ascii="宋体" w:hAnsi="宋体" w:eastAsia="宋体"/>
                <w:color w:val="000000"/>
                <w:sz w:val="18"/>
                <w:lang w:val="en-US" w:eastAsia="zh-CN"/>
              </w:rPr>
            </w:pPr>
          </w:p>
        </w:tc>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hint="default" w:ascii="宋体" w:hAnsi="宋体" w:eastAsia="宋体"/>
                <w:color w:val="000000"/>
                <w:sz w:val="18"/>
                <w:lang w:val="en-US" w:eastAsia="zh-CN"/>
              </w:rPr>
            </w:pPr>
          </w:p>
        </w:tc>
      </w:tr>
      <w:tr>
        <w:tblPrEx>
          <w:tblCellMar>
            <w:top w:w="0" w:type="dxa"/>
            <w:left w:w="108" w:type="dxa"/>
            <w:bottom w:w="0" w:type="dxa"/>
            <w:right w:w="108" w:type="dxa"/>
          </w:tblCellMar>
        </w:tblPrEx>
        <w:trPr>
          <w:trHeight w:val="228" w:hRule="atLeast"/>
        </w:trPr>
        <w:tc>
          <w:tcPr>
            <w:tcW w:w="8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年度总体目标</w:t>
            </w:r>
          </w:p>
        </w:tc>
        <w:tc>
          <w:tcPr>
            <w:tcW w:w="3859"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年初设定目标</w:t>
            </w:r>
          </w:p>
        </w:tc>
        <w:tc>
          <w:tcPr>
            <w:tcW w:w="4197"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全年完成情况</w:t>
            </w:r>
          </w:p>
        </w:tc>
      </w:tr>
      <w:tr>
        <w:tblPrEx>
          <w:tblCellMar>
            <w:top w:w="0" w:type="dxa"/>
            <w:left w:w="108" w:type="dxa"/>
            <w:bottom w:w="0" w:type="dxa"/>
            <w:right w:w="108" w:type="dxa"/>
          </w:tblCellMar>
        </w:tblPrEx>
        <w:trPr>
          <w:trHeight w:val="228" w:hRule="atLeast"/>
        </w:trPr>
        <w:tc>
          <w:tcPr>
            <w:tcW w:w="8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3859"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Theme="minorEastAsia" w:hAnsiTheme="minorEastAsia" w:eastAsiaTheme="minorEastAsia" w:cstheme="minorEastAsia"/>
                <w:b w:val="0"/>
                <w:bCs w:val="0"/>
                <w:kern w:val="0"/>
                <w:sz w:val="18"/>
                <w:szCs w:val="18"/>
              </w:rPr>
              <w:t>确保学校的正常开支与运行，确保校园扩建工程的正常建设与安全。提升学校教育教学水平，推进区职业教育事业蓬勃发展。</w:t>
            </w:r>
          </w:p>
        </w:tc>
        <w:tc>
          <w:tcPr>
            <w:tcW w:w="4197"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Theme="minorEastAsia" w:hAnsiTheme="minorEastAsia" w:eastAsiaTheme="minorEastAsia" w:cstheme="minorEastAsia"/>
                <w:b w:val="0"/>
                <w:bCs w:val="0"/>
                <w:kern w:val="0"/>
                <w:sz w:val="18"/>
                <w:szCs w:val="18"/>
              </w:rPr>
              <w:t>确保学校的正常开支与运行，确保校园扩建工程的正常建设与安全。提升学校教育教学水平，推进区职业教育事业蓬勃发展</w:t>
            </w:r>
            <w:r>
              <w:rPr>
                <w:rFonts w:hint="eastAsia" w:asciiTheme="minorEastAsia" w:hAnsiTheme="minorEastAsia" w:eastAsiaTheme="minorEastAsia" w:cstheme="minorEastAsia"/>
                <w:b w:val="0"/>
                <w:bCs w:val="0"/>
                <w:kern w:val="0"/>
                <w:sz w:val="21"/>
                <w:szCs w:val="21"/>
              </w:rPr>
              <w:t>。</w:t>
            </w:r>
          </w:p>
        </w:tc>
      </w:tr>
      <w:tr>
        <w:tblPrEx>
          <w:tblCellMar>
            <w:top w:w="0" w:type="dxa"/>
            <w:left w:w="108" w:type="dxa"/>
            <w:bottom w:w="0" w:type="dxa"/>
            <w:right w:w="108" w:type="dxa"/>
          </w:tblCellMar>
        </w:tblPrEx>
        <w:trPr>
          <w:trHeight w:val="228" w:hRule="atLeast"/>
        </w:trPr>
        <w:tc>
          <w:tcPr>
            <w:tcW w:w="8946" w:type="dxa"/>
            <w:gridSpan w:val="14"/>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分解目标自评</w:t>
            </w:r>
          </w:p>
        </w:tc>
      </w:tr>
      <w:tr>
        <w:tblPrEx>
          <w:tblCellMar>
            <w:top w:w="0" w:type="dxa"/>
            <w:left w:w="108" w:type="dxa"/>
            <w:bottom w:w="0" w:type="dxa"/>
            <w:right w:w="108" w:type="dxa"/>
          </w:tblCellMar>
        </w:tblPrEx>
        <w:trPr>
          <w:trHeight w:val="240" w:hRule="atLeast"/>
        </w:trPr>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一级指标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权重</w:t>
            </w:r>
          </w:p>
        </w:tc>
        <w:tc>
          <w:tcPr>
            <w:tcW w:w="233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二级指标</w:t>
            </w:r>
          </w:p>
        </w:tc>
        <w:tc>
          <w:tcPr>
            <w:tcW w:w="102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三级指标</w:t>
            </w:r>
          </w:p>
        </w:tc>
        <w:tc>
          <w:tcPr>
            <w:tcW w:w="91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年度指标值</w:t>
            </w:r>
          </w:p>
        </w:tc>
        <w:tc>
          <w:tcPr>
            <w:tcW w:w="87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全年完成值</w:t>
            </w:r>
          </w:p>
        </w:tc>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分值</w:t>
            </w:r>
          </w:p>
        </w:tc>
        <w:tc>
          <w:tcPr>
            <w:tcW w:w="55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得分</w:t>
            </w:r>
          </w:p>
        </w:tc>
        <w:tc>
          <w:tcPr>
            <w:tcW w:w="1394"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偏差及原因分析</w:t>
            </w:r>
          </w:p>
        </w:tc>
      </w:tr>
      <w:tr>
        <w:tblPrEx>
          <w:tblCellMar>
            <w:top w:w="0" w:type="dxa"/>
            <w:left w:w="108" w:type="dxa"/>
            <w:bottom w:w="0" w:type="dxa"/>
            <w:right w:w="108" w:type="dxa"/>
          </w:tblCellMar>
        </w:tblPrEx>
        <w:trPr>
          <w:trHeight w:val="240" w:hRule="atLeast"/>
        </w:trPr>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rPr>
                <w:rFonts w:ascii="宋体" w:hAnsi="宋体"/>
                <w:sz w:val="18"/>
              </w:rPr>
            </w:pPr>
          </w:p>
        </w:tc>
        <w:tc>
          <w:tcPr>
            <w:tcW w:w="233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rPr>
                <w:rFonts w:ascii="宋体" w:hAnsi="宋体"/>
                <w:sz w:val="18"/>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rPr>
                <w:rFonts w:ascii="宋体" w:hAnsi="宋体"/>
                <w:sz w:val="18"/>
              </w:rPr>
            </w:pPr>
          </w:p>
        </w:tc>
        <w:tc>
          <w:tcPr>
            <w:tcW w:w="91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rPr>
                <w:rFonts w:ascii="宋体" w:hAnsi="宋体"/>
                <w:sz w:val="18"/>
              </w:rPr>
            </w:pP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rPr>
                <w:rFonts w:ascii="宋体" w:hAnsi="宋体"/>
                <w:sz w:val="18"/>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rPr>
                <w:rFonts w:ascii="宋体" w:hAnsi="宋体"/>
                <w:sz w:val="18"/>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rPr>
                <w:rFonts w:ascii="宋体" w:hAnsi="宋体"/>
                <w:sz w:val="18"/>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rPr>
                <w:rFonts w:ascii="宋体" w:hAnsi="宋体"/>
                <w:sz w:val="18"/>
              </w:rPr>
            </w:pPr>
          </w:p>
        </w:tc>
      </w:tr>
      <w:tr>
        <w:tblPrEx>
          <w:tblCellMar>
            <w:top w:w="0" w:type="dxa"/>
            <w:left w:w="108" w:type="dxa"/>
            <w:bottom w:w="0" w:type="dxa"/>
            <w:right w:w="108" w:type="dxa"/>
          </w:tblCellMar>
        </w:tblPrEx>
        <w:trPr>
          <w:trHeight w:val="360" w:hRule="atLeast"/>
        </w:trPr>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管理指标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30</w:t>
            </w:r>
          </w:p>
        </w:tc>
        <w:tc>
          <w:tcPr>
            <w:tcW w:w="233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预算编审管理</w:t>
            </w:r>
          </w:p>
        </w:tc>
        <w:tc>
          <w:tcPr>
            <w:tcW w:w="1936"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根据附件3《部门整体支出绩效评价指标体系框架》（参考）设置三级指标和指标值</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预算执行管理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5</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5</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部门结转结余资金管理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预决算信息公开管理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5</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5</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部门预算管理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政府采购管理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资产管理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产出指标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25</w:t>
            </w:r>
          </w:p>
        </w:tc>
        <w:tc>
          <w:tcPr>
            <w:tcW w:w="233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数量指标</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both"/>
              <w:textAlignment w:val="center"/>
              <w:rPr>
                <w:rFonts w:hint="eastAsia" w:ascii="宋体" w:hAnsi="宋体"/>
                <w:color w:val="000000"/>
                <w:sz w:val="18"/>
                <w:lang w:val="en-US" w:eastAsia="zh-CN"/>
              </w:rPr>
            </w:pPr>
            <w:r>
              <w:rPr>
                <w:rFonts w:hint="eastAsia" w:ascii="宋体" w:hAnsi="宋体"/>
                <w:color w:val="000000"/>
                <w:sz w:val="18"/>
                <w:lang w:val="en-US" w:eastAsia="zh-CN"/>
              </w:rPr>
              <w:t>教职工</w:t>
            </w:r>
          </w:p>
          <w:p>
            <w:pPr>
              <w:autoSpaceDN w:val="0"/>
              <w:spacing w:line="240" w:lineRule="exact"/>
              <w:jc w:val="both"/>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人数</w:t>
            </w:r>
          </w:p>
        </w:tc>
        <w:tc>
          <w:tcPr>
            <w:tcW w:w="91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123人</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123人</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233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学生人数</w:t>
            </w:r>
          </w:p>
        </w:tc>
        <w:tc>
          <w:tcPr>
            <w:tcW w:w="91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1910人</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1910人</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5</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质量指标</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hint="default"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资金及时拨付</w:t>
            </w:r>
          </w:p>
        </w:tc>
        <w:tc>
          <w:tcPr>
            <w:tcW w:w="91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100%</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100%</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455" w:hRule="atLeast"/>
        </w:trPr>
        <w:tc>
          <w:tcPr>
            <w:tcW w:w="637"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auto" w:sz="4" w:space="0"/>
              <w:right w:val="single" w:color="000000" w:sz="4" w:space="0"/>
            </w:tcBorders>
            <w:noWrap w:val="0"/>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时效指标</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资金使用期限</w:t>
            </w:r>
          </w:p>
        </w:tc>
        <w:tc>
          <w:tcPr>
            <w:tcW w:w="91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1-12月</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1-12月</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9</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9</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83" w:hRule="atLeast"/>
        </w:trPr>
        <w:tc>
          <w:tcPr>
            <w:tcW w:w="637" w:type="dxa"/>
            <w:tcBorders>
              <w:top w:val="single" w:color="auto" w:sz="4" w:space="0"/>
              <w:left w:val="single" w:color="000000" w:sz="4" w:space="0"/>
              <w:bottom w:val="single" w:color="000000" w:sz="4" w:space="0"/>
              <w:right w:val="single" w:color="000000" w:sz="4" w:space="0"/>
            </w:tcBorders>
            <w:noWrap w:val="0"/>
            <w:vAlign w:val="center"/>
          </w:tcPr>
          <w:p>
            <w:pPr>
              <w:spacing w:line="240" w:lineRule="exact"/>
              <w:rPr>
                <w:rFonts w:hint="default" w:ascii="宋体" w:hAnsi="宋体" w:eastAsia="宋体"/>
                <w:sz w:val="18"/>
                <w:lang w:val="en-US" w:eastAsia="zh-CN"/>
              </w:rPr>
            </w:pPr>
            <w:r>
              <w:rPr>
                <w:rFonts w:hint="eastAsia" w:ascii="宋体" w:hAnsi="宋体"/>
                <w:sz w:val="18"/>
                <w:lang w:val="en-US" w:eastAsia="zh-CN"/>
              </w:rPr>
              <w:t>效果指标</w:t>
            </w:r>
          </w:p>
        </w:tc>
        <w:tc>
          <w:tcPr>
            <w:tcW w:w="530"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240" w:lineRule="exact"/>
              <w:rPr>
                <w:rFonts w:hint="eastAsia" w:ascii="宋体" w:hAnsi="宋体"/>
                <w:sz w:val="18"/>
                <w:lang w:val="en-US" w:eastAsia="zh-CN"/>
              </w:rPr>
            </w:pPr>
            <w:r>
              <w:rPr>
                <w:rFonts w:hint="eastAsia" w:ascii="宋体" w:hAnsi="宋体"/>
                <w:sz w:val="18"/>
                <w:lang w:val="en-US" w:eastAsia="zh-CN"/>
              </w:rPr>
              <w:t>35</w:t>
            </w:r>
          </w:p>
          <w:p>
            <w:pPr>
              <w:spacing w:line="240" w:lineRule="exact"/>
              <w:rPr>
                <w:rFonts w:hint="default" w:ascii="宋体" w:hAnsi="宋体"/>
                <w:sz w:val="18"/>
                <w:lang w:val="en-US" w:eastAsia="zh-CN"/>
              </w:rPr>
            </w:pPr>
          </w:p>
        </w:tc>
        <w:tc>
          <w:tcPr>
            <w:tcW w:w="233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社会效益指标</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办全区人民满意的职业教育</w:t>
            </w:r>
          </w:p>
        </w:tc>
        <w:tc>
          <w:tcPr>
            <w:tcW w:w="91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100%</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100%</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35</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35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满意度指标</w:t>
            </w:r>
          </w:p>
        </w:tc>
        <w:tc>
          <w:tcPr>
            <w:tcW w:w="5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10</w:t>
            </w:r>
          </w:p>
        </w:tc>
        <w:tc>
          <w:tcPr>
            <w:tcW w:w="233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满意度指标</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师生及家长满意度</w:t>
            </w:r>
          </w:p>
        </w:tc>
        <w:tc>
          <w:tcPr>
            <w:tcW w:w="91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100%</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100%</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00" w:hRule="atLeast"/>
        </w:trPr>
        <w:tc>
          <w:tcPr>
            <w:tcW w:w="6311" w:type="dxa"/>
            <w:gridSpan w:val="11"/>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总分</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100</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100</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87" w:hRule="atLeast"/>
        </w:trPr>
        <w:tc>
          <w:tcPr>
            <w:tcW w:w="8946" w:type="dxa"/>
            <w:gridSpan w:val="14"/>
            <w:tcBorders>
              <w:top w:val="single" w:color="000000" w:sz="4" w:space="0"/>
              <w:left w:val="nil"/>
              <w:bottom w:val="nil"/>
              <w:right w:val="nil"/>
            </w:tcBorders>
            <w:noWrap w:val="0"/>
            <w:vAlign w:val="center"/>
          </w:tcPr>
          <w:p>
            <w:pPr>
              <w:autoSpaceDN w:val="0"/>
              <w:spacing w:line="240" w:lineRule="exact"/>
              <w:jc w:val="left"/>
              <w:textAlignment w:val="center"/>
              <w:rPr>
                <w:rFonts w:hint="default" w:eastAsia="宋体"/>
                <w:sz w:val="18"/>
                <w:szCs w:val="18"/>
                <w:lang w:val="en-US" w:eastAsia="zh-CN"/>
              </w:rPr>
            </w:pPr>
            <w:r>
              <w:rPr>
                <w:rFonts w:hint="eastAsia"/>
                <w:sz w:val="18"/>
                <w:szCs w:val="18"/>
              </w:rPr>
              <w:t xml:space="preserve">填表人：  </w:t>
            </w:r>
            <w:r>
              <w:rPr>
                <w:rFonts w:hint="eastAsia"/>
                <w:sz w:val="18"/>
                <w:szCs w:val="18"/>
                <w:lang w:val="en-US" w:eastAsia="zh-CN"/>
              </w:rPr>
              <w:t>王小凤</w:t>
            </w:r>
            <w:r>
              <w:rPr>
                <w:rFonts w:hint="eastAsia"/>
                <w:sz w:val="18"/>
                <w:szCs w:val="18"/>
              </w:rPr>
              <w:t xml:space="preserve">                                   联系电话：</w:t>
            </w:r>
            <w:r>
              <w:rPr>
                <w:rFonts w:hint="eastAsia"/>
                <w:sz w:val="18"/>
                <w:szCs w:val="18"/>
                <w:lang w:val="en-US" w:eastAsia="zh-CN"/>
              </w:rPr>
              <w:t>13155953174</w:t>
            </w:r>
          </w:p>
        </w:tc>
      </w:tr>
      <w:tr>
        <w:tblPrEx>
          <w:tblCellMar>
            <w:top w:w="0" w:type="dxa"/>
            <w:left w:w="108" w:type="dxa"/>
            <w:bottom w:w="0" w:type="dxa"/>
            <w:right w:w="108" w:type="dxa"/>
          </w:tblCellMar>
        </w:tblPrEx>
        <w:trPr>
          <w:trHeight w:val="852" w:hRule="atLeast"/>
        </w:trPr>
        <w:tc>
          <w:tcPr>
            <w:tcW w:w="8946" w:type="dxa"/>
            <w:gridSpan w:val="14"/>
            <w:tcBorders>
              <w:top w:val="nil"/>
            </w:tcBorders>
            <w:noWrap w:val="0"/>
            <w:vAlign w:val="top"/>
          </w:tcPr>
          <w:p>
            <w:pPr>
              <w:autoSpaceDN w:val="0"/>
              <w:spacing w:line="240" w:lineRule="exact"/>
              <w:jc w:val="left"/>
              <w:textAlignment w:val="top"/>
              <w:rPr>
                <w:rFonts w:ascii="宋体" w:hAnsi="宋体"/>
                <w:color w:val="000000"/>
                <w:sz w:val="18"/>
              </w:rPr>
            </w:pPr>
            <w:r>
              <w:rPr>
                <w:rFonts w:hint="eastAsia" w:ascii="宋体" w:hAnsi="宋体"/>
                <w:color w:val="000000"/>
                <w:sz w:val="18"/>
              </w:rPr>
              <w:t>说明：1.预算部门按照附件3《部门整体支出绩效评价指标体系框架》（参考）设置三级指标和指标</w:t>
            </w:r>
            <w:r>
              <w:rPr>
                <w:rFonts w:hint="eastAsia" w:ascii="宋体" w:hAnsi="宋体"/>
                <w:color w:val="000000"/>
                <w:sz w:val="18"/>
              </w:rPr>
              <w:br w:type="textWrapping"/>
            </w:r>
            <w:r>
              <w:rPr>
                <w:rFonts w:hint="eastAsia" w:ascii="宋体" w:hAnsi="宋体"/>
                <w:color w:val="000000"/>
                <w:sz w:val="18"/>
              </w:rPr>
              <w:t xml:space="preserve">      2.上述产出指标和效益指标根据年初设定的绩效目标既可以按照重点任务完成情况分别填列，也可以依据所有重点任务归纳提炼综合指标。</w:t>
            </w:r>
          </w:p>
        </w:tc>
      </w:tr>
    </w:tbl>
    <w:p>
      <w:pPr>
        <w:spacing w:line="240" w:lineRule="exact"/>
        <w:ind w:firstLine="560" w:firstLineChars="200"/>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C7B9B"/>
    <w:rsid w:val="006125D0"/>
    <w:rsid w:val="07E10304"/>
    <w:rsid w:val="0AFE289A"/>
    <w:rsid w:val="0DAE4C16"/>
    <w:rsid w:val="247950C7"/>
    <w:rsid w:val="2C6132C7"/>
    <w:rsid w:val="2F4473E4"/>
    <w:rsid w:val="30521F93"/>
    <w:rsid w:val="31DC7FEA"/>
    <w:rsid w:val="327A7A9C"/>
    <w:rsid w:val="3D4666C6"/>
    <w:rsid w:val="42A23E67"/>
    <w:rsid w:val="4C3C7B9B"/>
    <w:rsid w:val="4D91700F"/>
    <w:rsid w:val="64A3655A"/>
    <w:rsid w:val="672A3DF2"/>
    <w:rsid w:val="741715DD"/>
    <w:rsid w:val="75A0662A"/>
    <w:rsid w:val="77600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620</Words>
  <Characters>734</Characters>
  <Lines>0</Lines>
  <Paragraphs>0</Paragraphs>
  <TotalTime>142</TotalTime>
  <ScaleCrop>false</ScaleCrop>
  <LinksUpToDate>false</LinksUpToDate>
  <CharactersWithSpaces>796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2021-05-26T07:48:00Z</dcterms:created>
  <dc:creator>Administrator</dc:creator>
  <cp:lastModifiedBy>Administrator</cp:lastModifiedBy>
  <cp:lastPrinted>2021-06-09T06:51:00Z</cp:lastPrinted>
  <dcterms:modified xsi:type="dcterms:W3CDTF">2022-08-24T07:54:59Z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790F80091542414D9C52B8B5E08BD81D</vt:lpwstr>
  </property>
</Properties>
</file>